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3F67" w14:textId="52622FAD" w:rsidR="00B123FF" w:rsidRPr="00455A3C" w:rsidRDefault="00C67B70" w:rsidP="00F60A53">
      <w:pPr>
        <w:pStyle w:val="F2-zkladn"/>
        <w:spacing w:line="276" w:lineRule="auto"/>
        <w:rPr>
          <w:b/>
          <w:sz w:val="28"/>
          <w:szCs w:val="28"/>
        </w:rPr>
      </w:pPr>
      <w:bookmarkStart w:id="0" w:name="_Hlk177547361"/>
      <w:bookmarkEnd w:id="0"/>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6149BB2E"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A8387E">
        <w:t>27</w:t>
      </w:r>
      <w:r w:rsidR="005420B4" w:rsidRPr="00893890">
        <w:t>.</w:t>
      </w:r>
      <w:r w:rsidR="00296EFF">
        <w:t xml:space="preserve"> </w:t>
      </w:r>
      <w:r w:rsidR="00B64E8C">
        <w:t>listopadu</w:t>
      </w:r>
      <w:r w:rsidR="00EB4F26">
        <w:t xml:space="preserve"> </w:t>
      </w:r>
      <w:r w:rsidR="00A30105" w:rsidRPr="00893890">
        <w:t>20</w:t>
      </w:r>
      <w:r w:rsidR="00A7414F" w:rsidRPr="00893890">
        <w:t>2</w:t>
      </w:r>
      <w:r w:rsidR="00CB6DEB">
        <w:t>4</w:t>
      </w:r>
    </w:p>
    <w:p w14:paraId="048587CA" w14:textId="0A3930DE" w:rsidR="002027ED" w:rsidRPr="002027ED" w:rsidRDefault="002027ED" w:rsidP="002027ED">
      <w:pPr>
        <w:pStyle w:val="F2-zkladn"/>
        <w:tabs>
          <w:tab w:val="right" w:pos="9070"/>
        </w:tabs>
        <w:spacing w:line="276" w:lineRule="auto"/>
      </w:pPr>
    </w:p>
    <w:p w14:paraId="75349DD5" w14:textId="6FD27FF5" w:rsidR="004D79D4" w:rsidRDefault="00262CDC" w:rsidP="006652A0">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Fidelity International: </w:t>
      </w:r>
      <w:r w:rsidR="00A8387E">
        <w:rPr>
          <w:rStyle w:val="normaltextrun"/>
          <w:rFonts w:ascii="Arial" w:hAnsi="Arial" w:cs="Arial"/>
          <w:b/>
          <w:bCs/>
          <w:color w:val="000000"/>
          <w:sz w:val="28"/>
          <w:szCs w:val="28"/>
          <w:lang w:val="cs-CZ"/>
        </w:rPr>
        <w:t xml:space="preserve">Akcie </w:t>
      </w:r>
      <w:r w:rsidR="00A8387E" w:rsidRPr="00A8387E">
        <w:rPr>
          <w:rStyle w:val="normaltextrun"/>
          <w:rFonts w:ascii="Arial" w:hAnsi="Arial" w:cs="Arial"/>
          <w:b/>
          <w:bCs/>
          <w:color w:val="000000"/>
          <w:sz w:val="28"/>
          <w:szCs w:val="28"/>
          <w:lang w:val="cs-CZ"/>
        </w:rPr>
        <w:t>–</w:t>
      </w:r>
      <w:r w:rsidR="00A8387E">
        <w:rPr>
          <w:rStyle w:val="normaltextrun"/>
          <w:rFonts w:ascii="Arial" w:hAnsi="Arial" w:cs="Arial"/>
          <w:b/>
          <w:bCs/>
          <w:color w:val="000000"/>
          <w:sz w:val="28"/>
          <w:szCs w:val="28"/>
          <w:lang w:val="cs-CZ"/>
        </w:rPr>
        <w:t xml:space="preserve"> Nové příležitosti</w:t>
      </w:r>
      <w:r w:rsidR="001C13F4">
        <w:rPr>
          <w:rStyle w:val="normaltextrun"/>
          <w:rFonts w:ascii="Arial" w:hAnsi="Arial" w:cs="Arial"/>
          <w:b/>
          <w:bCs/>
          <w:color w:val="000000"/>
          <w:sz w:val="28"/>
          <w:szCs w:val="28"/>
          <w:lang w:val="cs-CZ"/>
        </w:rPr>
        <w:t xml:space="preserve"> v roce 2025</w:t>
      </w:r>
    </w:p>
    <w:p w14:paraId="61504C6E" w14:textId="7A9F7C07" w:rsidR="00DA3B92" w:rsidRPr="00755878" w:rsidRDefault="00A8387E" w:rsidP="00755878">
      <w:pPr>
        <w:spacing w:line="276" w:lineRule="auto"/>
        <w:rPr>
          <w:rFonts w:asciiTheme="minorHAnsi" w:hAnsiTheme="minorHAnsi" w:cstheme="minorHAnsi"/>
          <w:b/>
          <w:bCs/>
          <w:sz w:val="24"/>
          <w:szCs w:val="24"/>
        </w:rPr>
      </w:pPr>
      <w:r>
        <w:rPr>
          <w:rFonts w:asciiTheme="minorHAnsi" w:hAnsiTheme="minorHAnsi" w:cstheme="minorHAnsi"/>
          <w:b/>
          <w:bCs/>
          <w:sz w:val="24"/>
          <w:szCs w:val="24"/>
        </w:rPr>
        <w:t>Jednoznačný výsledek amerických voleb, politické rozbroje v Evropě a probuzení čínských fiskálních opatření předznamenávají pro akciové trhy v roce 2025 větší volatilitu. Ale také nové cesty k výnosům.</w:t>
      </w:r>
    </w:p>
    <w:p w14:paraId="66EF1D49" w14:textId="52D71728" w:rsidR="00A8387E" w:rsidRDefault="00A8387E" w:rsidP="00A8387E">
      <w:pPr>
        <w:rPr>
          <w:b/>
          <w:bCs/>
        </w:rPr>
      </w:pPr>
      <w:r>
        <w:rPr>
          <w:b/>
          <w:bCs/>
        </w:rPr>
        <w:t>Hlavní teze pro rok 2025</w:t>
      </w:r>
    </w:p>
    <w:p w14:paraId="3DB72B7C" w14:textId="10C18658" w:rsidR="00A8387E" w:rsidRDefault="00A8387E" w:rsidP="00A8387E">
      <w:pPr>
        <w:pStyle w:val="F2-zkladn"/>
        <w:numPr>
          <w:ilvl w:val="0"/>
          <w:numId w:val="45"/>
        </w:numPr>
        <w:spacing w:line="276" w:lineRule="auto"/>
      </w:pPr>
      <w:r>
        <w:t>Americké akcie si díky ziskům povedou lépe než zbytek vyspělého světa</w:t>
      </w:r>
    </w:p>
    <w:p w14:paraId="4C8D9A4B" w14:textId="4839DA00" w:rsidR="00A8387E" w:rsidRDefault="00A8387E" w:rsidP="00A8387E">
      <w:pPr>
        <w:pStyle w:val="F2-zkladn"/>
        <w:numPr>
          <w:ilvl w:val="0"/>
          <w:numId w:val="45"/>
        </w:numPr>
        <w:spacing w:line="276" w:lineRule="auto"/>
      </w:pPr>
      <w:r>
        <w:t xml:space="preserve">Japonské akcie zůstávají dobrou sázkou na vlně pokračujících reforem, které se odrazí ve výnosech </w:t>
      </w:r>
    </w:p>
    <w:p w14:paraId="65F964F8" w14:textId="688478B1" w:rsidR="00A8387E" w:rsidRPr="00A8387E" w:rsidRDefault="00A8387E" w:rsidP="00A8387E">
      <w:pPr>
        <w:pStyle w:val="F2-zkladn"/>
        <w:numPr>
          <w:ilvl w:val="0"/>
          <w:numId w:val="45"/>
        </w:numPr>
        <w:spacing w:line="276" w:lineRule="auto"/>
      </w:pPr>
      <w:r>
        <w:t>Nervozita z vysokých valuací by měla být důvodem pro hledání příjmu</w:t>
      </w:r>
    </w:p>
    <w:p w14:paraId="3213A6B3" w14:textId="32B36BCF" w:rsidR="00A8387E" w:rsidRPr="004A67E7" w:rsidRDefault="00A8387E" w:rsidP="00A8387E">
      <w:pPr>
        <w:spacing w:line="360" w:lineRule="auto"/>
      </w:pPr>
      <w:r w:rsidRPr="004A67E7">
        <w:t xml:space="preserve">Makro a měnová politika by měly </w:t>
      </w:r>
      <w:r>
        <w:t>v</w:t>
      </w:r>
      <w:r w:rsidRPr="004A67E7">
        <w:t xml:space="preserve"> ro</w:t>
      </w:r>
      <w:r>
        <w:t>ce</w:t>
      </w:r>
      <w:r w:rsidRPr="004A67E7">
        <w:t xml:space="preserve"> 2025 </w:t>
      </w:r>
      <w:r>
        <w:t xml:space="preserve">zařídit </w:t>
      </w:r>
      <w:r w:rsidRPr="004A67E7">
        <w:t>akciov</w:t>
      </w:r>
      <w:r>
        <w:t>ým</w:t>
      </w:r>
      <w:r w:rsidRPr="004A67E7">
        <w:t xml:space="preserve"> trh</w:t>
      </w:r>
      <w:r>
        <w:t>ům</w:t>
      </w:r>
      <w:r w:rsidRPr="004A67E7">
        <w:t xml:space="preserve"> pozitivní </w:t>
      </w:r>
      <w:r>
        <w:t>klima</w:t>
      </w:r>
      <w:r w:rsidRPr="004A67E7">
        <w:t xml:space="preserve">. Hospodářský cyklus </w:t>
      </w:r>
      <w:r>
        <w:t>se posune do nové fáze</w:t>
      </w:r>
      <w:r w:rsidRPr="004A67E7">
        <w:t xml:space="preserve"> </w:t>
      </w:r>
      <w:r>
        <w:t>–</w:t>
      </w:r>
      <w:r w:rsidRPr="004A67E7">
        <w:t xml:space="preserve"> ale v tomto roce </w:t>
      </w:r>
      <w:r>
        <w:t xml:space="preserve">se </w:t>
      </w:r>
      <w:r w:rsidRPr="004A67E7">
        <w:t xml:space="preserve">bude také </w:t>
      </w:r>
      <w:r>
        <w:t>nadále</w:t>
      </w:r>
      <w:r w:rsidRPr="004A67E7">
        <w:t xml:space="preserve"> </w:t>
      </w:r>
      <w:r>
        <w:t>hlásit o slovo</w:t>
      </w:r>
      <w:r w:rsidRPr="004A67E7">
        <w:t xml:space="preserve"> geopolitika.</w:t>
      </w:r>
    </w:p>
    <w:p w14:paraId="06979012" w14:textId="22F649B8" w:rsidR="00955BB4" w:rsidRDefault="00A8387E" w:rsidP="00955BB4">
      <w:pPr>
        <w:spacing w:line="360" w:lineRule="auto"/>
      </w:pPr>
      <w:r w:rsidRPr="004A67E7">
        <w:t xml:space="preserve">Trendy, které </w:t>
      </w:r>
      <w:r>
        <w:t>stály za</w:t>
      </w:r>
      <w:r w:rsidRPr="004A67E7">
        <w:t xml:space="preserve"> </w:t>
      </w:r>
      <w:r>
        <w:t xml:space="preserve">nedávnými </w:t>
      </w:r>
      <w:r w:rsidRPr="004A67E7">
        <w:t>cenov</w:t>
      </w:r>
      <w:r>
        <w:t>ými</w:t>
      </w:r>
      <w:r w:rsidRPr="004A67E7">
        <w:t xml:space="preserve"> pohyby, mohou </w:t>
      </w:r>
      <w:r>
        <w:t>pokračovat</w:t>
      </w:r>
      <w:r w:rsidRPr="004A67E7">
        <w:t xml:space="preserve">. </w:t>
      </w:r>
      <w:r>
        <w:t>Lze</w:t>
      </w:r>
      <w:r w:rsidRPr="004A67E7">
        <w:t xml:space="preserve"> však očekávat nové směry a</w:t>
      </w:r>
      <w:r>
        <w:t xml:space="preserve"> rozšíření</w:t>
      </w:r>
      <w:r w:rsidRPr="004A67E7">
        <w:t xml:space="preserve"> růstu na trzích</w:t>
      </w:r>
      <w:r>
        <w:t xml:space="preserve"> do nových oblastí</w:t>
      </w:r>
      <w:r w:rsidRPr="004A67E7">
        <w:t xml:space="preserve">. </w:t>
      </w:r>
      <w:r>
        <w:t>A</w:t>
      </w:r>
      <w:r w:rsidRPr="004A67E7">
        <w:t>kciov</w:t>
      </w:r>
      <w:r>
        <w:t>ým</w:t>
      </w:r>
      <w:r w:rsidRPr="004A67E7">
        <w:t xml:space="preserve"> investor</w:t>
      </w:r>
      <w:r>
        <w:t>ům</w:t>
      </w:r>
      <w:r w:rsidRPr="004A67E7">
        <w:t xml:space="preserve"> nastávají vzrušující časy.</w:t>
      </w:r>
    </w:p>
    <w:p w14:paraId="3FAC0477" w14:textId="0B6C8970" w:rsidR="00955BB4" w:rsidRDefault="00A8387E" w:rsidP="00955BB4">
      <w:pPr>
        <w:rPr>
          <w:b/>
          <w:bCs/>
        </w:rPr>
      </w:pPr>
      <w:r>
        <w:rPr>
          <w:b/>
          <w:bCs/>
        </w:rPr>
        <w:t>Globální trendy</w:t>
      </w:r>
    </w:p>
    <w:p w14:paraId="5C13A817" w14:textId="27AD017D" w:rsidR="00955BB4" w:rsidRDefault="00A8387E" w:rsidP="00A8387E">
      <w:pPr>
        <w:pStyle w:val="F2-zkladn"/>
        <w:spacing w:line="360" w:lineRule="auto"/>
      </w:pPr>
      <w:r w:rsidRPr="006846CC">
        <w:t xml:space="preserve">Přelomové vítězství republikánů ve volbách pravděpodobně posílí americkou výjimečnost, ať už v dobrém či špatném smyslu. Ještě před listopadovými volbami jsme očekávali, že zisky amerických podniků v roce 2025 </w:t>
      </w:r>
      <w:r>
        <w:t>po</w:t>
      </w:r>
      <w:r w:rsidRPr="006846CC">
        <w:t xml:space="preserve">rostou o 14 % a překonají většinu ostatních regionů i světový průměr, pokud jde o </w:t>
      </w:r>
      <w:r>
        <w:t xml:space="preserve">míru </w:t>
      </w:r>
      <w:r w:rsidRPr="006846CC">
        <w:t>růst</w:t>
      </w:r>
      <w:r>
        <w:t>u</w:t>
      </w:r>
      <w:r w:rsidRPr="006846CC">
        <w:t xml:space="preserve">, návratnost vlastního kapitálu a výši čistého dluhu. Volby </w:t>
      </w:r>
      <w:r>
        <w:t>podnítily</w:t>
      </w:r>
      <w:r w:rsidRPr="006846CC">
        <w:t xml:space="preserve"> na trhu optimismus, že nadcházející rok bude </w:t>
      </w:r>
      <w:r>
        <w:t>ještě více přát byznysu</w:t>
      </w:r>
      <w:r w:rsidRPr="006846CC">
        <w:t xml:space="preserve">, růstu </w:t>
      </w:r>
      <w:r>
        <w:t>či</w:t>
      </w:r>
      <w:r w:rsidRPr="006846CC">
        <w:t xml:space="preserve"> inovacím. </w:t>
      </w:r>
      <w:r>
        <w:t>N</w:t>
      </w:r>
      <w:r w:rsidRPr="006846CC">
        <w:t xml:space="preserve">ěkterá odvětví </w:t>
      </w:r>
      <w:r>
        <w:t xml:space="preserve">mohou čelit </w:t>
      </w:r>
      <w:r w:rsidRPr="006846CC">
        <w:t>rizik</w:t>
      </w:r>
      <w:r>
        <w:t>ům</w:t>
      </w:r>
      <w:r w:rsidRPr="006846CC">
        <w:t xml:space="preserve"> plynoucí</w:t>
      </w:r>
      <w:r>
        <w:t>m</w:t>
      </w:r>
      <w:r w:rsidRPr="006846CC">
        <w:t xml:space="preserve"> z</w:t>
      </w:r>
      <w:r>
        <w:t> </w:t>
      </w:r>
      <w:r w:rsidRPr="006846CC">
        <w:t>potenciální</w:t>
      </w:r>
      <w:r>
        <w:t>ho zvýšení</w:t>
      </w:r>
      <w:r w:rsidRPr="006846CC">
        <w:t xml:space="preserve"> cel a dalších obchodních třenic mezi USA a Čínou, ale výsledn</w:t>
      </w:r>
      <w:r>
        <w:t>á</w:t>
      </w:r>
      <w:r w:rsidRPr="006846CC">
        <w:t xml:space="preserve"> reflace </w:t>
      </w:r>
      <w:r>
        <w:t xml:space="preserve">na druhé straně může </w:t>
      </w:r>
      <w:r w:rsidRPr="006846CC">
        <w:t>pom</w:t>
      </w:r>
      <w:r>
        <w:t>oci</w:t>
      </w:r>
      <w:r w:rsidRPr="006846CC">
        <w:t xml:space="preserve"> ziskům a zmírn</w:t>
      </w:r>
      <w:r>
        <w:t>it</w:t>
      </w:r>
      <w:r w:rsidRPr="006846CC">
        <w:t xml:space="preserve"> obavy z vyšší</w:t>
      </w:r>
      <w:r>
        <w:t>c</w:t>
      </w:r>
      <w:r w:rsidRPr="006846CC">
        <w:t xml:space="preserve">h </w:t>
      </w:r>
      <w:r>
        <w:t>valuací</w:t>
      </w:r>
      <w:r w:rsidRPr="006846CC">
        <w:t>.</w:t>
      </w:r>
    </w:p>
    <w:p w14:paraId="046AF50F" w14:textId="77777777" w:rsidR="00955BB4" w:rsidRDefault="00955BB4" w:rsidP="00955BB4">
      <w:pPr>
        <w:pStyle w:val="F2-zkladn"/>
      </w:pPr>
    </w:p>
    <w:p w14:paraId="63D280D5" w14:textId="77777777" w:rsidR="00955BB4" w:rsidRDefault="00955BB4" w:rsidP="00955BB4">
      <w:pPr>
        <w:pStyle w:val="F2-zkladn"/>
      </w:pPr>
    </w:p>
    <w:p w14:paraId="2A1898B8" w14:textId="77777777" w:rsidR="00A8387E" w:rsidRDefault="00A8387E" w:rsidP="00955BB4">
      <w:pPr>
        <w:pStyle w:val="F2-zkladn"/>
      </w:pPr>
    </w:p>
    <w:p w14:paraId="083E1BA1" w14:textId="77777777" w:rsidR="00A8387E" w:rsidRPr="00955BB4" w:rsidRDefault="00A8387E" w:rsidP="00955BB4">
      <w:pPr>
        <w:pStyle w:val="F2-zkladn"/>
      </w:pPr>
    </w:p>
    <w:p w14:paraId="55F7070B" w14:textId="5F1A0B8D" w:rsidR="00955BB4" w:rsidRPr="00955BB4" w:rsidRDefault="00A8387E" w:rsidP="00955BB4">
      <w:pPr>
        <w:jc w:val="right"/>
        <w:rPr>
          <w:i/>
          <w:iCs/>
          <w:sz w:val="18"/>
          <w:szCs w:val="18"/>
        </w:rPr>
      </w:pPr>
      <w:r w:rsidRPr="006846CC">
        <w:rPr>
          <w:noProof/>
        </w:rPr>
        <w:lastRenderedPageBreak/>
        <w:drawing>
          <wp:anchor distT="0" distB="0" distL="114300" distR="114300" simplePos="0" relativeHeight="251659264" behindDoc="0" locked="0" layoutInCell="1" allowOverlap="1" wp14:anchorId="3ACDA3E8" wp14:editId="004447FC">
            <wp:simplePos x="0" y="0"/>
            <wp:positionH relativeFrom="column">
              <wp:posOffset>-1270</wp:posOffset>
            </wp:positionH>
            <wp:positionV relativeFrom="paragraph">
              <wp:posOffset>0</wp:posOffset>
            </wp:positionV>
            <wp:extent cx="5759450" cy="3239691"/>
            <wp:effectExtent l="0" t="0" r="0" b="0"/>
            <wp:wrapTopAndBottom/>
            <wp:docPr id="880530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759450" cy="3239691"/>
                    </a:xfrm>
                    <a:prstGeom prst="rect">
                      <a:avLst/>
                    </a:prstGeom>
                    <a:noFill/>
                    <a:ln>
                      <a:noFill/>
                    </a:ln>
                  </pic:spPr>
                </pic:pic>
              </a:graphicData>
            </a:graphic>
          </wp:anchor>
        </w:drawing>
      </w:r>
    </w:p>
    <w:p w14:paraId="66AEEEC4" w14:textId="77777777" w:rsidR="00A8387E" w:rsidRDefault="00A8387E" w:rsidP="00A8387E">
      <w:pPr>
        <w:spacing w:line="360" w:lineRule="auto"/>
      </w:pPr>
      <w:r w:rsidRPr="006846CC">
        <w:t xml:space="preserve">Přesto budou muset být investoři v letošním roce </w:t>
      </w:r>
      <w:r>
        <w:t>o něco vybíravější v</w:t>
      </w:r>
      <w:r w:rsidRPr="006846CC">
        <w:t xml:space="preserve"> to</w:t>
      </w:r>
      <w:r>
        <w:t>m</w:t>
      </w:r>
      <w:r w:rsidRPr="006846CC">
        <w:t xml:space="preserve">, kam </w:t>
      </w:r>
      <w:r>
        <w:t>nasměrují svou pozornost</w:t>
      </w:r>
      <w:r w:rsidRPr="006846CC">
        <w:t xml:space="preserve">. Příkladem je trend umělé inteligence. Na jedné straně probíhá debata o ocenění velkých technologických společností; </w:t>
      </w:r>
      <w:proofErr w:type="spellStart"/>
      <w:r w:rsidRPr="006846CC">
        <w:t>Nvidia</w:t>
      </w:r>
      <w:proofErr w:type="spellEnd"/>
      <w:r w:rsidRPr="006846CC">
        <w:t xml:space="preserve"> </w:t>
      </w:r>
      <w:r>
        <w:t>i</w:t>
      </w:r>
      <w:r w:rsidRPr="006846CC">
        <w:t xml:space="preserve"> další</w:t>
      </w:r>
      <w:r>
        <w:t xml:space="preserve"> podobné</w:t>
      </w:r>
      <w:r w:rsidRPr="006846CC">
        <w:t xml:space="preserve"> </w:t>
      </w:r>
      <w:r>
        <w:t>akcie neu</w:t>
      </w:r>
      <w:r w:rsidRPr="006846CC">
        <w:t xml:space="preserve">stále </w:t>
      </w:r>
      <w:r>
        <w:t xml:space="preserve">zapisují nová maxima </w:t>
      </w:r>
      <w:r w:rsidRPr="006846CC">
        <w:t xml:space="preserve">a </w:t>
      </w:r>
      <w:r>
        <w:t xml:space="preserve">byť je </w:t>
      </w:r>
      <w:r w:rsidRPr="006846CC">
        <w:t xml:space="preserve">možné, že </w:t>
      </w:r>
      <w:r>
        <w:t>svou dynamiku ještě chvíli udrží</w:t>
      </w:r>
      <w:r w:rsidRPr="006846CC">
        <w:t xml:space="preserve">, </w:t>
      </w:r>
      <w:r>
        <w:t>my se již snažíme dívat, jaké</w:t>
      </w:r>
      <w:r w:rsidRPr="006846CC">
        <w:t xml:space="preserve"> společnosti jsou další </w:t>
      </w:r>
      <w:r>
        <w:t>v</w:t>
      </w:r>
      <w:r w:rsidRPr="006846CC">
        <w:t xml:space="preserve"> řadě, </w:t>
      </w:r>
      <w:r>
        <w:t xml:space="preserve">aby těžily </w:t>
      </w:r>
      <w:r w:rsidRPr="006846CC">
        <w:t>z</w:t>
      </w:r>
      <w:r>
        <w:t> </w:t>
      </w:r>
      <w:r w:rsidRPr="006846CC">
        <w:t>toho</w:t>
      </w:r>
      <w:r>
        <w:t>to trendu</w:t>
      </w:r>
      <w:r w:rsidRPr="006846CC">
        <w:t xml:space="preserve">. </w:t>
      </w:r>
      <w:r>
        <w:t>Takovou</w:t>
      </w:r>
      <w:r w:rsidRPr="006846CC">
        <w:t xml:space="preserve"> skupin</w:t>
      </w:r>
      <w:r>
        <w:t>ou</w:t>
      </w:r>
      <w:r w:rsidRPr="006846CC">
        <w:t xml:space="preserve"> jsou </w:t>
      </w:r>
      <w:r>
        <w:t>třeba společnosti</w:t>
      </w:r>
      <w:r w:rsidRPr="006846CC">
        <w:t xml:space="preserve">, které usnadňují využívání umělé inteligence, ale </w:t>
      </w:r>
      <w:r>
        <w:t>ve výsledku může celý trend pomoci</w:t>
      </w:r>
      <w:r w:rsidRPr="006846CC">
        <w:t xml:space="preserve"> i </w:t>
      </w:r>
      <w:r>
        <w:t>ne</w:t>
      </w:r>
      <w:r w:rsidRPr="006846CC">
        <w:t xml:space="preserve">přímo </w:t>
      </w:r>
      <w:r>
        <w:t xml:space="preserve">mnoha dalším </w:t>
      </w:r>
      <w:r w:rsidRPr="006846CC">
        <w:t>související</w:t>
      </w:r>
      <w:r>
        <w:t>m</w:t>
      </w:r>
      <w:r w:rsidRPr="006846CC">
        <w:t xml:space="preserve"> odvětví</w:t>
      </w:r>
      <w:r>
        <w:t>m</w:t>
      </w:r>
      <w:r w:rsidRPr="006846CC">
        <w:t xml:space="preserve"> </w:t>
      </w:r>
      <w:r>
        <w:t>i</w:t>
      </w:r>
      <w:r w:rsidRPr="006846CC">
        <w:t xml:space="preserve"> spotřebitelů</w:t>
      </w:r>
      <w:r>
        <w:t>m</w:t>
      </w:r>
      <w:r w:rsidRPr="006846CC">
        <w:t xml:space="preserve">. Společnost Apple vydělala </w:t>
      </w:r>
      <w:r>
        <w:t>své</w:t>
      </w:r>
      <w:r w:rsidRPr="006846CC">
        <w:t xml:space="preserve"> jmění na chytrých telefonech, jejich</w:t>
      </w:r>
      <w:r>
        <w:t>ž</w:t>
      </w:r>
      <w:r w:rsidRPr="006846CC">
        <w:t xml:space="preserve"> </w:t>
      </w:r>
      <w:r>
        <w:t>nástup</w:t>
      </w:r>
      <w:r w:rsidRPr="006846CC">
        <w:t xml:space="preserve"> </w:t>
      </w:r>
      <w:r>
        <w:t>zažehl</w:t>
      </w:r>
      <w:r w:rsidRPr="006846CC">
        <w:t xml:space="preserve"> růst celé řady stávajících i nových podniků. Umělou inteligenci a strojové učení zatím do svých provozů </w:t>
      </w:r>
      <w:r>
        <w:t>nasadila</w:t>
      </w:r>
      <w:r w:rsidRPr="006846CC">
        <w:t xml:space="preserve"> méně než třetina </w:t>
      </w:r>
      <w:r>
        <w:t>firem</w:t>
      </w:r>
      <w:r w:rsidRPr="006846CC">
        <w:t xml:space="preserve">, ale více než 70 % z nich to plánuje: </w:t>
      </w:r>
      <w:r>
        <w:t xml:space="preserve">celkový </w:t>
      </w:r>
      <w:r w:rsidRPr="006846CC">
        <w:t xml:space="preserve">dopad na ekonomiku </w:t>
      </w:r>
      <w:r>
        <w:t>proto bude sílit</w:t>
      </w:r>
      <w:r w:rsidRPr="006846CC">
        <w:t xml:space="preserve">. </w:t>
      </w:r>
      <w:r>
        <w:t>V každém případě se j</w:t>
      </w:r>
      <w:r w:rsidRPr="006846CC">
        <w:t xml:space="preserve">edná se o </w:t>
      </w:r>
      <w:r>
        <w:t>odvětví</w:t>
      </w:r>
      <w:r w:rsidRPr="006846CC">
        <w:t>, kde je americk</w:t>
      </w:r>
      <w:r>
        <w:t>á</w:t>
      </w:r>
      <w:r w:rsidRPr="006846CC">
        <w:t xml:space="preserve"> </w:t>
      </w:r>
      <w:r>
        <w:t xml:space="preserve">dominance </w:t>
      </w:r>
      <w:r w:rsidRPr="006846CC">
        <w:t>nezpochybniteln</w:t>
      </w:r>
      <w:r>
        <w:t>á</w:t>
      </w:r>
      <w:r w:rsidRPr="006846CC">
        <w:t>.</w:t>
      </w:r>
    </w:p>
    <w:p w14:paraId="6DA19C6D" w14:textId="77777777" w:rsidR="00A8387E" w:rsidRDefault="00A8387E" w:rsidP="00A8387E">
      <w:pPr>
        <w:spacing w:line="360" w:lineRule="auto"/>
      </w:pPr>
      <w:r>
        <w:t>Zmiňme i d</w:t>
      </w:r>
      <w:r w:rsidRPr="006846CC">
        <w:t xml:space="preserve">alší </w:t>
      </w:r>
      <w:r>
        <w:t xml:space="preserve">významné </w:t>
      </w:r>
      <w:r w:rsidRPr="006846CC">
        <w:t>strukturální trendy tohoto desetiletí</w:t>
      </w:r>
      <w:r>
        <w:t xml:space="preserve">, které </w:t>
      </w:r>
      <w:r w:rsidRPr="006846CC">
        <w:t xml:space="preserve">se </w:t>
      </w:r>
      <w:r>
        <w:t>vyplatí</w:t>
      </w:r>
      <w:r w:rsidRPr="006846CC">
        <w:t xml:space="preserve"> sledovat</w:t>
      </w:r>
      <w:r>
        <w:t xml:space="preserve"> i v roce 2025</w:t>
      </w:r>
      <w:r w:rsidRPr="006846CC">
        <w:t xml:space="preserve">. Průlom v oblasti léků proti obezitě je </w:t>
      </w:r>
      <w:r>
        <w:t>zásadní</w:t>
      </w:r>
      <w:r w:rsidRPr="006846CC">
        <w:t xml:space="preserve">, ale stejně jako </w:t>
      </w:r>
      <w:r>
        <w:t xml:space="preserve">u </w:t>
      </w:r>
      <w:r w:rsidRPr="006846CC">
        <w:t>uměl</w:t>
      </w:r>
      <w:r>
        <w:t>é</w:t>
      </w:r>
      <w:r w:rsidRPr="006846CC">
        <w:t xml:space="preserve"> inteligence, </w:t>
      </w:r>
      <w:proofErr w:type="spellStart"/>
      <w:r w:rsidRPr="006846CC">
        <w:t>Ozempic</w:t>
      </w:r>
      <w:proofErr w:type="spellEnd"/>
      <w:r w:rsidRPr="006846CC">
        <w:t xml:space="preserve"> a další</w:t>
      </w:r>
      <w:r>
        <w:t xml:space="preserve"> léky</w:t>
      </w:r>
      <w:r w:rsidRPr="006846CC">
        <w:t xml:space="preserve"> mají potenciál </w:t>
      </w:r>
      <w:r>
        <w:t>proměnit</w:t>
      </w:r>
      <w:r w:rsidRPr="006846CC">
        <w:t xml:space="preserve"> oblast</w:t>
      </w:r>
      <w:r>
        <w:t>i</w:t>
      </w:r>
      <w:r w:rsidRPr="006846CC">
        <w:t xml:space="preserve"> daleko </w:t>
      </w:r>
      <w:r>
        <w:t>za horizontem úzkého</w:t>
      </w:r>
      <w:r w:rsidRPr="006846CC">
        <w:t xml:space="preserve"> seznam</w:t>
      </w:r>
      <w:r>
        <w:t>u firem z</w:t>
      </w:r>
      <w:r w:rsidRPr="006846CC">
        <w:t xml:space="preserve"> indexu zdravotní péče, které </w:t>
      </w:r>
      <w:r>
        <w:t>dnes z nových léků</w:t>
      </w:r>
      <w:r w:rsidRPr="006846CC">
        <w:t xml:space="preserve"> profitují. Již nyní se objevují náznaky dominov</w:t>
      </w:r>
      <w:r>
        <w:t>ého</w:t>
      </w:r>
      <w:r w:rsidRPr="006846CC">
        <w:t xml:space="preserve"> efekt</w:t>
      </w:r>
      <w:r>
        <w:t>u</w:t>
      </w:r>
      <w:r w:rsidRPr="006846CC">
        <w:t xml:space="preserve"> v tom, jak lidé využívají nemocnice a posilovny, a </w:t>
      </w:r>
      <w:r>
        <w:t xml:space="preserve">objevují </w:t>
      </w:r>
      <w:r w:rsidRPr="006846CC">
        <w:t>se další případy využití.</w:t>
      </w:r>
    </w:p>
    <w:p w14:paraId="2FA49411" w14:textId="77777777" w:rsidR="00A8387E" w:rsidRDefault="00A8387E" w:rsidP="00A8387E">
      <w:pPr>
        <w:spacing w:line="360" w:lineRule="auto"/>
      </w:pPr>
      <w:r>
        <w:t>Sektoru z</w:t>
      </w:r>
      <w:r w:rsidRPr="00F348DD">
        <w:t xml:space="preserve">dravotní péče </w:t>
      </w:r>
      <w:r>
        <w:t>hraje do karet</w:t>
      </w:r>
      <w:r w:rsidRPr="00F348DD">
        <w:t xml:space="preserve"> další významný strukturální </w:t>
      </w:r>
      <w:r>
        <w:t>trend</w:t>
      </w:r>
      <w:r w:rsidRPr="00F348DD">
        <w:t>: celosvětová populace starší 65 let se do roku 2050 zdvojnásobí a podíl příjm</w:t>
      </w:r>
      <w:r>
        <w:t>u</w:t>
      </w:r>
      <w:r w:rsidRPr="00F348DD">
        <w:t>, kter</w:t>
      </w:r>
      <w:r>
        <w:t>ý</w:t>
      </w:r>
      <w:r w:rsidRPr="00F348DD">
        <w:t xml:space="preserve"> vynakládáme na udržení svého zdraví, bude </w:t>
      </w:r>
      <w:r>
        <w:t xml:space="preserve">růst i </w:t>
      </w:r>
      <w:r w:rsidRPr="00F348DD">
        <w:t>nadále.</w:t>
      </w:r>
    </w:p>
    <w:p w14:paraId="376445A6" w14:textId="1C06A4F7" w:rsidR="00A8387E" w:rsidRPr="00A8387E" w:rsidRDefault="00A8387E" w:rsidP="00A8387E">
      <w:pPr>
        <w:pStyle w:val="F2-zkladn"/>
      </w:pPr>
      <w:r w:rsidRPr="006846CC">
        <w:rPr>
          <w:noProof/>
        </w:rPr>
        <w:lastRenderedPageBreak/>
        <w:drawing>
          <wp:anchor distT="0" distB="0" distL="114300" distR="114300" simplePos="0" relativeHeight="251660288" behindDoc="0" locked="0" layoutInCell="1" allowOverlap="1" wp14:anchorId="45F366A1" wp14:editId="4593F669">
            <wp:simplePos x="0" y="0"/>
            <wp:positionH relativeFrom="column">
              <wp:posOffset>-1270</wp:posOffset>
            </wp:positionH>
            <wp:positionV relativeFrom="paragraph">
              <wp:posOffset>0</wp:posOffset>
            </wp:positionV>
            <wp:extent cx="5759450" cy="3201540"/>
            <wp:effectExtent l="0" t="0" r="0" b="0"/>
            <wp:wrapTopAndBottom/>
            <wp:docPr id="924049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49543"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0" cy="3201540"/>
                    </a:xfrm>
                    <a:prstGeom prst="rect">
                      <a:avLst/>
                    </a:prstGeom>
                  </pic:spPr>
                </pic:pic>
              </a:graphicData>
            </a:graphic>
          </wp:anchor>
        </w:drawing>
      </w:r>
    </w:p>
    <w:p w14:paraId="32362792" w14:textId="77777777" w:rsidR="00A8387E" w:rsidRPr="00F348DD" w:rsidRDefault="00A8387E" w:rsidP="00A8387E">
      <w:pPr>
        <w:rPr>
          <w:b/>
          <w:bCs/>
        </w:rPr>
      </w:pPr>
      <w:proofErr w:type="spellStart"/>
      <w:r w:rsidRPr="00F348DD">
        <w:rPr>
          <w:b/>
          <w:bCs/>
        </w:rPr>
        <w:t>Homeshoring</w:t>
      </w:r>
      <w:proofErr w:type="spellEnd"/>
    </w:p>
    <w:p w14:paraId="11E168A4" w14:textId="54984759" w:rsidR="008377B6" w:rsidRPr="00F348DD" w:rsidRDefault="008377B6" w:rsidP="008377B6">
      <w:pPr>
        <w:spacing w:line="360" w:lineRule="auto"/>
      </w:pPr>
      <w:r w:rsidRPr="00F348DD">
        <w:t xml:space="preserve">Ačkoli se všeobecně očekává, že republikáni mohou zrušit některé </w:t>
      </w:r>
      <w:r>
        <w:t xml:space="preserve">části </w:t>
      </w:r>
      <w:r w:rsidRPr="00F348DD">
        <w:t xml:space="preserve">zákona prezidenta </w:t>
      </w:r>
      <w:proofErr w:type="spellStart"/>
      <w:r w:rsidRPr="00F348DD">
        <w:t>Bidena</w:t>
      </w:r>
      <w:proofErr w:type="spellEnd"/>
      <w:r w:rsidRPr="00F348DD">
        <w:t xml:space="preserve"> o snížení inflace, včetně úvěrů na elektromobily, </w:t>
      </w:r>
      <w:r>
        <w:t>průmyslové</w:t>
      </w:r>
      <w:r w:rsidRPr="00F348DD">
        <w:t xml:space="preserve"> pobídky by měly být více chráněny vzhledem k tomu, že velká část investic se nachází v okresech ovládaných republikány. Trend </w:t>
      </w:r>
      <w:proofErr w:type="spellStart"/>
      <w:r w:rsidRPr="00F348DD">
        <w:t>onshoringu</w:t>
      </w:r>
      <w:proofErr w:type="spellEnd"/>
      <w:r w:rsidRPr="00F348DD">
        <w:t xml:space="preserve"> nab</w:t>
      </w:r>
      <w:r>
        <w:t>írá</w:t>
      </w:r>
      <w:r w:rsidRPr="00F348DD">
        <w:t xml:space="preserve"> na síle a má podporu obou stran. Jsme svědky toho, že výrobní aktivity jsou hnací silou růstu a investic ve střední Americe a náš výzkum ukazuje, že v příštích letech přidají </w:t>
      </w:r>
      <w:proofErr w:type="gramStart"/>
      <w:r w:rsidRPr="00F348DD">
        <w:t>2-3procentní</w:t>
      </w:r>
      <w:proofErr w:type="gramEnd"/>
      <w:r w:rsidRPr="00F348DD">
        <w:t xml:space="preserve"> body k tempu růstu fixních investic.</w:t>
      </w:r>
    </w:p>
    <w:p w14:paraId="0E0AC0D6" w14:textId="77777777" w:rsidR="008377B6" w:rsidRPr="00F348DD" w:rsidRDefault="008377B6" w:rsidP="008377B6">
      <w:pPr>
        <w:spacing w:line="360" w:lineRule="auto"/>
      </w:pPr>
      <w:r w:rsidRPr="00F348DD">
        <w:t>Situace v segmentech s</w:t>
      </w:r>
      <w:r>
        <w:t xml:space="preserve"> nízkou </w:t>
      </w:r>
      <w:r w:rsidRPr="00F348DD">
        <w:t xml:space="preserve">a střední kapitalizací může být složitější. Probíhající rallye </w:t>
      </w:r>
      <w:r>
        <w:t>na</w:t>
      </w:r>
      <w:r w:rsidRPr="00F348DD">
        <w:t xml:space="preserve">rovnala velkou část </w:t>
      </w:r>
      <w:r>
        <w:t>diskontu proti největším společnostem</w:t>
      </w:r>
      <w:r w:rsidRPr="00F348DD">
        <w:t xml:space="preserve">, ale nadcházející rok přinese </w:t>
      </w:r>
      <w:r>
        <w:t>další</w:t>
      </w:r>
      <w:r w:rsidRPr="00F348DD">
        <w:t xml:space="preserve"> </w:t>
      </w:r>
      <w:r>
        <w:t>výzvy</w:t>
      </w:r>
      <w:r w:rsidRPr="00F348DD">
        <w:t xml:space="preserve">. Snížení daní by prospělo malým podnikům, stejně jako nižší náklady na financování. </w:t>
      </w:r>
      <w:r>
        <w:t>Tato výhoda se však může snadno rozplynout</w:t>
      </w:r>
      <w:r w:rsidRPr="00F348DD">
        <w:t xml:space="preserve">, pokud růst cen donutí Fed ke změně </w:t>
      </w:r>
      <w:r>
        <w:t>postoje, například v důsledku</w:t>
      </w:r>
      <w:r w:rsidRPr="00F348DD">
        <w:t xml:space="preserve"> </w:t>
      </w:r>
      <w:r>
        <w:t xml:space="preserve">hrozby </w:t>
      </w:r>
      <w:r w:rsidRPr="00F348DD">
        <w:t>c</w:t>
      </w:r>
      <w:r>
        <w:t>el a změny imigrační politiky</w:t>
      </w:r>
      <w:r w:rsidRPr="00F348DD">
        <w:t>.</w:t>
      </w:r>
    </w:p>
    <w:p w14:paraId="0A32BF58" w14:textId="77777777" w:rsidR="008377B6" w:rsidRPr="00F348DD" w:rsidRDefault="008377B6" w:rsidP="008377B6">
      <w:r w:rsidRPr="00F348DD">
        <w:t xml:space="preserve">Obecně lze říci, že oba scénáře měkkého přistání </w:t>
      </w:r>
      <w:r>
        <w:t xml:space="preserve">nebo </w:t>
      </w:r>
      <w:r w:rsidRPr="00F348DD">
        <w:t xml:space="preserve">reflace, které pro nadcházející měsíce nastínil náš makro tým, </w:t>
      </w:r>
      <w:r>
        <w:t>by měly přát</w:t>
      </w:r>
      <w:r w:rsidRPr="00F348DD">
        <w:t xml:space="preserve"> zisk</w:t>
      </w:r>
      <w:r>
        <w:t>ům</w:t>
      </w:r>
      <w:r w:rsidRPr="00F348DD">
        <w:t xml:space="preserve"> </w:t>
      </w:r>
      <w:r>
        <w:t>raně</w:t>
      </w:r>
      <w:r w:rsidRPr="00F348DD">
        <w:t xml:space="preserve"> cyklických akcií. A pokud nová administrativa </w:t>
      </w:r>
      <w:r>
        <w:t xml:space="preserve">doručí podporu </w:t>
      </w:r>
      <w:r w:rsidRPr="00F348DD">
        <w:t>ekonomiky a omez</w:t>
      </w:r>
      <w:r>
        <w:t>ení</w:t>
      </w:r>
      <w:r w:rsidRPr="00F348DD">
        <w:t xml:space="preserve"> regulace, mělo by to </w:t>
      </w:r>
      <w:r>
        <w:t>pomoci zejména</w:t>
      </w:r>
      <w:r w:rsidRPr="00F348DD">
        <w:t xml:space="preserve"> americk</w:t>
      </w:r>
      <w:r>
        <w:t>ým</w:t>
      </w:r>
      <w:r w:rsidRPr="00F348DD">
        <w:t xml:space="preserve"> finanční</w:t>
      </w:r>
      <w:r>
        <w:t>m</w:t>
      </w:r>
      <w:r w:rsidRPr="00F348DD">
        <w:t xml:space="preserve"> a hodnotov</w:t>
      </w:r>
      <w:r>
        <w:t>ým</w:t>
      </w:r>
      <w:r w:rsidRPr="00F348DD">
        <w:t xml:space="preserve"> sektor</w:t>
      </w:r>
      <w:r>
        <w:t>ům</w:t>
      </w:r>
      <w:r w:rsidRPr="00F348DD">
        <w:t>.</w:t>
      </w:r>
    </w:p>
    <w:p w14:paraId="5E840729" w14:textId="77777777" w:rsidR="008377B6" w:rsidRPr="00502983" w:rsidRDefault="008377B6" w:rsidP="008377B6">
      <w:pPr>
        <w:rPr>
          <w:b/>
          <w:bCs/>
        </w:rPr>
      </w:pPr>
      <w:r>
        <w:rPr>
          <w:b/>
          <w:bCs/>
        </w:rPr>
        <w:t>R</w:t>
      </w:r>
      <w:r w:rsidRPr="00502983">
        <w:rPr>
          <w:b/>
          <w:bCs/>
        </w:rPr>
        <w:t>izika</w:t>
      </w:r>
      <w:r>
        <w:rPr>
          <w:b/>
          <w:bCs/>
        </w:rPr>
        <w:t xml:space="preserve"> v oblasti obchodní politiky</w:t>
      </w:r>
    </w:p>
    <w:p w14:paraId="66217732" w14:textId="77777777" w:rsidR="008377B6" w:rsidRPr="00502983" w:rsidRDefault="008377B6" w:rsidP="008377B6">
      <w:pPr>
        <w:spacing w:line="360" w:lineRule="auto"/>
      </w:pPr>
      <w:r>
        <w:t>Na prahu roku</w:t>
      </w:r>
      <w:r w:rsidRPr="00502983">
        <w:t xml:space="preserve"> 2025 </w:t>
      </w:r>
      <w:r>
        <w:t>hodnotíme</w:t>
      </w:r>
      <w:r w:rsidRPr="00502983">
        <w:t xml:space="preserve"> sentiment </w:t>
      </w:r>
      <w:r>
        <w:t>i</w:t>
      </w:r>
      <w:r w:rsidRPr="00502983">
        <w:t xml:space="preserve"> fundamentální ukazatele </w:t>
      </w:r>
      <w:r>
        <w:t xml:space="preserve">jako </w:t>
      </w:r>
      <w:r w:rsidRPr="00502983">
        <w:t xml:space="preserve">příznivé pro Japonsko. </w:t>
      </w:r>
      <w:r>
        <w:t>Země z</w:t>
      </w:r>
      <w:r w:rsidRPr="00502983">
        <w:t>ůstává na</w:t>
      </w:r>
      <w:r>
        <w:t xml:space="preserve"> </w:t>
      </w:r>
      <w:r w:rsidRPr="00502983">
        <w:t xml:space="preserve">cestě </w:t>
      </w:r>
      <w:r>
        <w:t xml:space="preserve">k reflaci díky </w:t>
      </w:r>
      <w:r w:rsidRPr="00502983">
        <w:t>siln</w:t>
      </w:r>
      <w:r>
        <w:t>ému</w:t>
      </w:r>
      <w:r w:rsidRPr="00502983">
        <w:t xml:space="preserve"> růst</w:t>
      </w:r>
      <w:r>
        <w:t>u</w:t>
      </w:r>
      <w:r w:rsidRPr="00502983">
        <w:t xml:space="preserve"> mezd a kapitálov</w:t>
      </w:r>
      <w:r>
        <w:t>ých</w:t>
      </w:r>
      <w:r w:rsidRPr="00502983">
        <w:t xml:space="preserve"> výdaj</w:t>
      </w:r>
      <w:r>
        <w:t>ů, což by se mělo odrážet i v postupně rostoucích</w:t>
      </w:r>
      <w:r w:rsidRPr="00502983">
        <w:t xml:space="preserve"> výnos</w:t>
      </w:r>
      <w:r>
        <w:t>ech</w:t>
      </w:r>
      <w:r w:rsidRPr="00502983">
        <w:t xml:space="preserve"> pro akcionáře. Roste také procento společností </w:t>
      </w:r>
      <w:r>
        <w:t xml:space="preserve">indexu </w:t>
      </w:r>
      <w:proofErr w:type="spellStart"/>
      <w:r w:rsidRPr="00502983">
        <w:t>Topix</w:t>
      </w:r>
      <w:proofErr w:type="spellEnd"/>
      <w:r w:rsidRPr="00502983">
        <w:t xml:space="preserve">, které </w:t>
      </w:r>
      <w:r w:rsidRPr="00502983">
        <w:lastRenderedPageBreak/>
        <w:t xml:space="preserve">překonávají výkonnost </w:t>
      </w:r>
      <w:r>
        <w:t xml:space="preserve">samotného </w:t>
      </w:r>
      <w:r w:rsidRPr="00502983">
        <w:t xml:space="preserve">indexu, </w:t>
      </w:r>
      <w:r>
        <w:t xml:space="preserve">díky honbě </w:t>
      </w:r>
      <w:r w:rsidRPr="00502983">
        <w:t>investo</w:t>
      </w:r>
      <w:r>
        <w:t>rů</w:t>
      </w:r>
      <w:r w:rsidRPr="00502983">
        <w:t xml:space="preserve"> </w:t>
      </w:r>
      <w:r>
        <w:t xml:space="preserve">za akciemi, které </w:t>
      </w:r>
      <w:proofErr w:type="spellStart"/>
      <w:r>
        <w:t>benefitují</w:t>
      </w:r>
      <w:proofErr w:type="spellEnd"/>
      <w:r>
        <w:t xml:space="preserve"> z</w:t>
      </w:r>
      <w:r w:rsidRPr="00502983">
        <w:t xml:space="preserve"> reforem </w:t>
      </w:r>
      <w:proofErr w:type="spellStart"/>
      <w:r>
        <w:t>corporate</w:t>
      </w:r>
      <w:proofErr w:type="spellEnd"/>
      <w:r>
        <w:t xml:space="preserve"> </w:t>
      </w:r>
      <w:proofErr w:type="spellStart"/>
      <w:r>
        <w:t>governance</w:t>
      </w:r>
      <w:proofErr w:type="spellEnd"/>
      <w:r>
        <w:t xml:space="preserve"> </w:t>
      </w:r>
      <w:r w:rsidRPr="00502983">
        <w:t>v zemi.</w:t>
      </w:r>
    </w:p>
    <w:p w14:paraId="3A08FA2B" w14:textId="77777777" w:rsidR="008377B6" w:rsidRPr="00502983" w:rsidRDefault="008377B6" w:rsidP="008377B6">
      <w:pPr>
        <w:spacing w:line="360" w:lineRule="auto"/>
      </w:pPr>
      <w:r>
        <w:t>Na co je třeba si dát pozor</w:t>
      </w:r>
      <w:r w:rsidRPr="00502983">
        <w:t xml:space="preserve">, </w:t>
      </w:r>
      <w:r>
        <w:t xml:space="preserve">je </w:t>
      </w:r>
      <w:r w:rsidRPr="00502983">
        <w:t>silný jen</w:t>
      </w:r>
      <w:r>
        <w:t>, který by</w:t>
      </w:r>
      <w:r w:rsidRPr="00502983">
        <w:t xml:space="preserve"> v kombinaci s vyššími úrokovými sazbami mohl v</w:t>
      </w:r>
      <w:r>
        <w:t xml:space="preserve"> průběhu </w:t>
      </w:r>
      <w:r w:rsidRPr="00502983">
        <w:t>ro</w:t>
      </w:r>
      <w:r>
        <w:t>ku</w:t>
      </w:r>
      <w:r w:rsidRPr="00502983">
        <w:t xml:space="preserve"> </w:t>
      </w:r>
      <w:r>
        <w:t>srážet</w:t>
      </w:r>
      <w:r w:rsidRPr="00502983">
        <w:t xml:space="preserve"> zisky, zejména v sektoru </w:t>
      </w:r>
      <w:r>
        <w:t xml:space="preserve">dlouhodobé </w:t>
      </w:r>
      <w:r w:rsidRPr="00502983">
        <w:t>spotřeb</w:t>
      </w:r>
      <w:r>
        <w:t>y</w:t>
      </w:r>
      <w:r w:rsidRPr="00502983">
        <w:t>, kde zahraniční prodeje převažují nad domácí poptávkou</w:t>
      </w:r>
      <w:r>
        <w:t>, například u</w:t>
      </w:r>
      <w:r w:rsidRPr="00502983">
        <w:t xml:space="preserve"> výrobců automobilů</w:t>
      </w:r>
      <w:r>
        <w:t xml:space="preserve"> nebo</w:t>
      </w:r>
      <w:r w:rsidRPr="00502983">
        <w:t xml:space="preserve"> </w:t>
      </w:r>
      <w:r>
        <w:t>vývozců trvanlivého zboží</w:t>
      </w:r>
      <w:r w:rsidRPr="00502983">
        <w:t>.</w:t>
      </w:r>
    </w:p>
    <w:p w14:paraId="77CAF9A7" w14:textId="77777777" w:rsidR="008377B6" w:rsidRPr="00502983" w:rsidRDefault="008377B6" w:rsidP="008377B6">
      <w:pPr>
        <w:spacing w:line="360" w:lineRule="auto"/>
      </w:pPr>
      <w:r>
        <w:t>Jiné oblasti</w:t>
      </w:r>
      <w:r w:rsidRPr="00502983">
        <w:t xml:space="preserve"> vyspělého světa </w:t>
      </w:r>
      <w:r>
        <w:t xml:space="preserve">však čelí značným </w:t>
      </w:r>
      <w:r w:rsidRPr="00502983">
        <w:t>problém</w:t>
      </w:r>
      <w:r>
        <w:t>ům</w:t>
      </w:r>
      <w:r w:rsidRPr="00502983">
        <w:t xml:space="preserve">. Nedávná varování evropských průmyslových a automobilových společností ohledně zisku a nevýrazné tržby společností </w:t>
      </w:r>
      <w:r>
        <w:t>sektoru</w:t>
      </w:r>
      <w:r w:rsidRPr="00502983">
        <w:t xml:space="preserve"> </w:t>
      </w:r>
      <w:r>
        <w:t xml:space="preserve">zbytné </w:t>
      </w:r>
      <w:r w:rsidRPr="00502983">
        <w:t>spotřeb</w:t>
      </w:r>
      <w:r>
        <w:t>y</w:t>
      </w:r>
      <w:r w:rsidRPr="00502983">
        <w:t xml:space="preserve"> signalizují</w:t>
      </w:r>
      <w:r>
        <w:t>,</w:t>
      </w:r>
      <w:r w:rsidRPr="00502983">
        <w:t xml:space="preserve"> že </w:t>
      </w:r>
      <w:r>
        <w:t>nejistá</w:t>
      </w:r>
      <w:r w:rsidRPr="00502983">
        <w:t xml:space="preserve"> čínsk</w:t>
      </w:r>
      <w:r>
        <w:t>á</w:t>
      </w:r>
      <w:r w:rsidRPr="00502983">
        <w:t xml:space="preserve"> poptáv</w:t>
      </w:r>
      <w:r>
        <w:t>ka</w:t>
      </w:r>
      <w:r w:rsidRPr="00502983">
        <w:t xml:space="preserve"> by </w:t>
      </w:r>
      <w:r>
        <w:t xml:space="preserve">se </w:t>
      </w:r>
      <w:r w:rsidRPr="00502983">
        <w:t>mohl</w:t>
      </w:r>
      <w:r>
        <w:t>a</w:t>
      </w:r>
      <w:r w:rsidRPr="00502983">
        <w:t xml:space="preserve"> </w:t>
      </w:r>
      <w:r>
        <w:t>na těchto akciích negativně podepsat</w:t>
      </w:r>
      <w:r w:rsidRPr="00502983">
        <w:t>. Model</w:t>
      </w:r>
      <w:r>
        <w:t>y</w:t>
      </w:r>
      <w:r w:rsidRPr="00502983">
        <w:t xml:space="preserve"> našeho makro týmu </w:t>
      </w:r>
      <w:r>
        <w:t>také ukazují</w:t>
      </w:r>
      <w:r w:rsidRPr="00502983">
        <w:t>, že částečné zavedení cel</w:t>
      </w:r>
      <w:r>
        <w:t xml:space="preserve"> navrhovaných</w:t>
      </w:r>
      <w:r w:rsidRPr="00502983">
        <w:t xml:space="preserve"> republikán</w:t>
      </w:r>
      <w:r>
        <w:t>y</w:t>
      </w:r>
      <w:r w:rsidRPr="00502983">
        <w:t xml:space="preserve"> by srazilo HDP Německa a eurozóny až o půl procentního bodu.</w:t>
      </w:r>
    </w:p>
    <w:p w14:paraId="2CD99DD1" w14:textId="4332BBBD" w:rsidR="00955BB4" w:rsidRPr="008377B6" w:rsidRDefault="008377B6" w:rsidP="008377B6">
      <w:pPr>
        <w:spacing w:line="360" w:lineRule="auto"/>
      </w:pPr>
      <w:r w:rsidRPr="00502983">
        <w:t xml:space="preserve">Na druhé straně </w:t>
      </w:r>
      <w:r>
        <w:t xml:space="preserve">– </w:t>
      </w:r>
      <w:r w:rsidRPr="00502983">
        <w:t>koordinovan</w:t>
      </w:r>
      <w:r>
        <w:t>ý cyklus</w:t>
      </w:r>
      <w:r w:rsidRPr="00502983">
        <w:t xml:space="preserve"> uvol</w:t>
      </w:r>
      <w:r>
        <w:t>ňování</w:t>
      </w:r>
      <w:r w:rsidRPr="00502983">
        <w:t xml:space="preserve"> měnové politiky </w:t>
      </w:r>
      <w:r>
        <w:t xml:space="preserve">by </w:t>
      </w:r>
      <w:r w:rsidRPr="00502983">
        <w:t xml:space="preserve">teoreticky </w:t>
      </w:r>
      <w:r>
        <w:t xml:space="preserve">měl </w:t>
      </w:r>
      <w:r w:rsidRPr="00502983">
        <w:t xml:space="preserve">pomoci evropským cyklickým akciím, </w:t>
      </w:r>
      <w:r>
        <w:t xml:space="preserve">ovšem </w:t>
      </w:r>
      <w:r w:rsidRPr="00502983">
        <w:t xml:space="preserve">levnější a defenzivnější </w:t>
      </w:r>
      <w:r>
        <w:t xml:space="preserve">variantou </w:t>
      </w:r>
      <w:r w:rsidRPr="00502983">
        <w:t>j</w:t>
      </w:r>
      <w:r>
        <w:t>e</w:t>
      </w:r>
      <w:r w:rsidRPr="00502983">
        <w:t xml:space="preserve"> v</w:t>
      </w:r>
      <w:r>
        <w:t> </w:t>
      </w:r>
      <w:r w:rsidRPr="00502983">
        <w:t>současnosti</w:t>
      </w:r>
      <w:r>
        <w:t xml:space="preserve"> hledání</w:t>
      </w:r>
      <w:r w:rsidRPr="00502983">
        <w:t xml:space="preserve"> </w:t>
      </w:r>
      <w:r>
        <w:t>příjmu.</w:t>
      </w:r>
      <w:r w:rsidRPr="00502983">
        <w:t xml:space="preserve"> </w:t>
      </w:r>
      <w:r>
        <w:t>Součet v</w:t>
      </w:r>
      <w:r w:rsidRPr="00502983">
        <w:t>ýnos</w:t>
      </w:r>
      <w:r>
        <w:t>u</w:t>
      </w:r>
      <w:r w:rsidRPr="00502983">
        <w:t xml:space="preserve"> z dividend a zpětných odkupů v některých oblastech trhu dosahuj</w:t>
      </w:r>
      <w:r>
        <w:t>e</w:t>
      </w:r>
      <w:r w:rsidRPr="00502983">
        <w:t xml:space="preserve"> až 8 %</w:t>
      </w:r>
      <w:r>
        <w:t xml:space="preserve"> a</w:t>
      </w:r>
      <w:r w:rsidRPr="00502983">
        <w:t xml:space="preserve"> </w:t>
      </w:r>
      <w:r>
        <w:t>tato oblast trhu tím pádem vypadá atraktivněji</w:t>
      </w:r>
      <w:r w:rsidRPr="00502983">
        <w:t>.</w:t>
      </w:r>
    </w:p>
    <w:p w14:paraId="38D3A69D" w14:textId="4A6036D0" w:rsidR="00BD2B9E" w:rsidRPr="00955BB4" w:rsidRDefault="008377B6" w:rsidP="00955BB4">
      <w:pPr>
        <w:rPr>
          <w:b/>
          <w:bCs/>
        </w:rPr>
      </w:pPr>
      <w:r>
        <w:rPr>
          <w:b/>
          <w:bCs/>
        </w:rPr>
        <w:t xml:space="preserve">Asijský potenciál </w:t>
      </w:r>
    </w:p>
    <w:p w14:paraId="0BB6E04A" w14:textId="77777777" w:rsidR="008377B6" w:rsidRPr="003915C3" w:rsidRDefault="008377B6" w:rsidP="008377B6">
      <w:pPr>
        <w:spacing w:line="360" w:lineRule="auto"/>
      </w:pPr>
      <w:r w:rsidRPr="003915C3">
        <w:t xml:space="preserve">V samotné Číně dáváme přednost odvětvím, která </w:t>
      </w:r>
      <w:r>
        <w:t>se</w:t>
      </w:r>
      <w:r w:rsidRPr="003915C3">
        <w:t xml:space="preserve"> již nyní </w:t>
      </w:r>
      <w:r>
        <w:t xml:space="preserve">vyskytují </w:t>
      </w:r>
      <w:r w:rsidRPr="003915C3">
        <w:t xml:space="preserve">na předních místech vládního programu: technologiím, </w:t>
      </w:r>
      <w:proofErr w:type="spellStart"/>
      <w:r>
        <w:t>high</w:t>
      </w:r>
      <w:proofErr w:type="spellEnd"/>
      <w:r>
        <w:t>-end</w:t>
      </w:r>
      <w:r w:rsidRPr="003915C3">
        <w:t xml:space="preserve"> výrobě, spotřebnímu zboží a zdravotnictví. Jsme si vědomi toho, že čínské akcie mohou být volatilní a že mnoho společností se díky </w:t>
      </w:r>
      <w:r>
        <w:t xml:space="preserve">nedávnému </w:t>
      </w:r>
      <w:r w:rsidRPr="003915C3">
        <w:t xml:space="preserve">obratu </w:t>
      </w:r>
      <w:r>
        <w:t xml:space="preserve">vrátilo z </w:t>
      </w:r>
      <w:r w:rsidRPr="003915C3">
        <w:t xml:space="preserve">nízkých </w:t>
      </w:r>
      <w:r>
        <w:t xml:space="preserve">valuací na </w:t>
      </w:r>
      <w:r w:rsidRPr="003915C3">
        <w:t>spravedliv</w:t>
      </w:r>
      <w:r>
        <w:t>ější</w:t>
      </w:r>
      <w:r w:rsidRPr="003915C3">
        <w:t xml:space="preserve"> ocenění. Dobrou zprávou je, že na tomto obrovském trhu o akcie s jasnou cestou k růstu zisků</w:t>
      </w:r>
      <w:r>
        <w:t xml:space="preserve"> </w:t>
      </w:r>
      <w:r w:rsidRPr="003915C3">
        <w:t>není nouze.</w:t>
      </w:r>
    </w:p>
    <w:p w14:paraId="0873377F" w14:textId="77777777" w:rsidR="008377B6" w:rsidRPr="003915C3" w:rsidRDefault="008377B6" w:rsidP="008377B6">
      <w:pPr>
        <w:spacing w:line="360" w:lineRule="auto"/>
      </w:pPr>
      <w:r w:rsidRPr="003915C3">
        <w:t>Čína se staví do pozice, k</w:t>
      </w:r>
      <w:r>
        <w:t xml:space="preserve">dy chce zachovat, nikoli znovu </w:t>
      </w:r>
      <w:r w:rsidRPr="003915C3">
        <w:t>nastartovat</w:t>
      </w:r>
      <w:r>
        <w:t>,</w:t>
      </w:r>
      <w:r w:rsidRPr="003915C3">
        <w:t xml:space="preserve"> hospodářský růst. </w:t>
      </w:r>
      <w:r>
        <w:t>P</w:t>
      </w:r>
      <w:r w:rsidRPr="003915C3">
        <w:t>oliti</w:t>
      </w:r>
      <w:r>
        <w:t>ci</w:t>
      </w:r>
      <w:r w:rsidRPr="003915C3">
        <w:t xml:space="preserve"> si uvědomují potřebu stabilizovat ceny bydlení; nehodlají ohrozit těžce </w:t>
      </w:r>
      <w:r>
        <w:t xml:space="preserve">dosahovaný </w:t>
      </w:r>
      <w:r w:rsidRPr="003915C3">
        <w:t>pokrok</w:t>
      </w:r>
      <w:r>
        <w:t xml:space="preserve"> v oblasti </w:t>
      </w:r>
      <w:r w:rsidRPr="003915C3">
        <w:t xml:space="preserve">snižování zadlužení, tím, že by </w:t>
      </w:r>
      <w:r>
        <w:t>přifukovali bublinu</w:t>
      </w:r>
      <w:r w:rsidRPr="003915C3">
        <w:t xml:space="preserve"> </w:t>
      </w:r>
      <w:r>
        <w:t xml:space="preserve">a </w:t>
      </w:r>
      <w:r w:rsidRPr="003915C3">
        <w:t>trh</w:t>
      </w:r>
      <w:r>
        <w:t>u</w:t>
      </w:r>
      <w:r w:rsidRPr="003915C3">
        <w:t xml:space="preserve"> s bydlením. Nejpravděpodobnější </w:t>
      </w:r>
      <w:r>
        <w:t>vývoj</w:t>
      </w:r>
      <w:r w:rsidRPr="003915C3">
        <w:t xml:space="preserve"> </w:t>
      </w:r>
      <w:r>
        <w:t>představuje</w:t>
      </w:r>
      <w:r w:rsidRPr="003915C3">
        <w:t xml:space="preserve"> postupné oživení </w:t>
      </w:r>
      <w:r>
        <w:t xml:space="preserve">u </w:t>
      </w:r>
      <w:r w:rsidRPr="003915C3">
        <w:t>čínských akcií.</w:t>
      </w:r>
    </w:p>
    <w:p w14:paraId="0DFA11B0" w14:textId="77777777" w:rsidR="008377B6" w:rsidRPr="003915C3" w:rsidRDefault="008377B6" w:rsidP="008377B6">
      <w:pPr>
        <w:spacing w:line="360" w:lineRule="auto"/>
      </w:pPr>
      <w:r>
        <w:t xml:space="preserve">Mezi ostatními </w:t>
      </w:r>
      <w:r w:rsidRPr="003915C3">
        <w:t>rozvíjející</w:t>
      </w:r>
      <w:r>
        <w:t xml:space="preserve">mi se </w:t>
      </w:r>
      <w:r w:rsidRPr="003915C3">
        <w:t>tr</w:t>
      </w:r>
      <w:r>
        <w:t>hy</w:t>
      </w:r>
      <w:r w:rsidRPr="003915C3">
        <w:t xml:space="preserve"> </w:t>
      </w:r>
      <w:r>
        <w:t xml:space="preserve">se těší </w:t>
      </w:r>
      <w:r w:rsidRPr="003915C3">
        <w:t>dob</w:t>
      </w:r>
      <w:r>
        <w:t>ré</w:t>
      </w:r>
      <w:r w:rsidRPr="003915C3">
        <w:t xml:space="preserve"> dynami</w:t>
      </w:r>
      <w:r>
        <w:t>ce</w:t>
      </w:r>
      <w:r w:rsidRPr="003915C3">
        <w:t xml:space="preserve"> růstu a zisků Indonésie, ale dominance bank činí trh zranitelným vůči snižování úrokových sazeb. Zatímco likvidita je </w:t>
      </w:r>
      <w:r>
        <w:t xml:space="preserve">zde z pohledu </w:t>
      </w:r>
      <w:r w:rsidRPr="003915C3">
        <w:t>globální</w:t>
      </w:r>
      <w:r>
        <w:t>ch</w:t>
      </w:r>
      <w:r w:rsidRPr="003915C3">
        <w:t xml:space="preserve"> investor</w:t>
      </w:r>
      <w:r>
        <w:t>ů</w:t>
      </w:r>
      <w:r w:rsidRPr="003915C3">
        <w:t xml:space="preserve"> mnohem </w:t>
      </w:r>
      <w:r>
        <w:t>nižší</w:t>
      </w:r>
      <w:r w:rsidRPr="003915C3">
        <w:t xml:space="preserve">, region </w:t>
      </w:r>
      <w:proofErr w:type="spellStart"/>
      <w:r w:rsidRPr="003915C3">
        <w:t>Asean</w:t>
      </w:r>
      <w:proofErr w:type="spellEnd"/>
      <w:r w:rsidRPr="003915C3">
        <w:t xml:space="preserve"> může široce těžit z</w:t>
      </w:r>
      <w:r>
        <w:t>e</w:t>
      </w:r>
      <w:r w:rsidRPr="003915C3">
        <w:t xml:space="preserve"> </w:t>
      </w:r>
      <w:r>
        <w:t xml:space="preserve">širšího </w:t>
      </w:r>
      <w:r w:rsidRPr="003915C3">
        <w:t>trendu diverzifikace dodavatelsk</w:t>
      </w:r>
      <w:r>
        <w:t>ých</w:t>
      </w:r>
      <w:r w:rsidRPr="003915C3">
        <w:t xml:space="preserve"> řetězc</w:t>
      </w:r>
      <w:r>
        <w:t>ů</w:t>
      </w:r>
      <w:r w:rsidRPr="003915C3">
        <w:t xml:space="preserve"> a rostoucího podílu přímých zahraničních investic z celého světa.</w:t>
      </w:r>
    </w:p>
    <w:p w14:paraId="77A6F9AD" w14:textId="77777777" w:rsidR="008377B6" w:rsidRPr="003915C3" w:rsidRDefault="008377B6" w:rsidP="008377B6">
      <w:pPr>
        <w:spacing w:line="360" w:lineRule="auto"/>
      </w:pPr>
      <w:r w:rsidRPr="003915C3">
        <w:t xml:space="preserve">Indie </w:t>
      </w:r>
      <w:r>
        <w:t>by měla nadále představovat</w:t>
      </w:r>
      <w:r w:rsidRPr="003915C3">
        <w:t xml:space="preserve"> </w:t>
      </w:r>
      <w:r>
        <w:t xml:space="preserve">lákadlo </w:t>
      </w:r>
      <w:r w:rsidRPr="003915C3">
        <w:t xml:space="preserve">pro dlouhodobé investory. Přestože některé zahraniční toky po nedávné </w:t>
      </w:r>
      <w:proofErr w:type="spellStart"/>
      <w:r w:rsidRPr="003915C3">
        <w:t>rally</w:t>
      </w:r>
      <w:proofErr w:type="spellEnd"/>
      <w:r w:rsidRPr="003915C3">
        <w:t xml:space="preserve"> </w:t>
      </w:r>
      <w:r>
        <w:t xml:space="preserve">odrážejí realizaci </w:t>
      </w:r>
      <w:r w:rsidRPr="003915C3">
        <w:t>zisk</w:t>
      </w:r>
      <w:r>
        <w:t>ů</w:t>
      </w:r>
      <w:r w:rsidRPr="003915C3">
        <w:t xml:space="preserve"> a extrémní počasí </w:t>
      </w:r>
      <w:r>
        <w:t>dopadá na sektor</w:t>
      </w:r>
      <w:r w:rsidRPr="003915C3">
        <w:t xml:space="preserve"> zemědělství, vyhlídky země zůstávají solidní, což podtrhuje příznivý demografický vývoj a investice do infrastruktury a výroby. A to je důvod, proč domácí investoři stále nakupují.</w:t>
      </w:r>
    </w:p>
    <w:p w14:paraId="350AD49B" w14:textId="77777777" w:rsidR="008377B6" w:rsidRDefault="008377B6" w:rsidP="008377B6">
      <w:pPr>
        <w:rPr>
          <w:b/>
          <w:bCs/>
        </w:rPr>
      </w:pPr>
    </w:p>
    <w:p w14:paraId="1FA65873" w14:textId="77777777" w:rsidR="008377B6" w:rsidRDefault="008377B6" w:rsidP="008377B6">
      <w:pPr>
        <w:rPr>
          <w:b/>
          <w:bCs/>
        </w:rPr>
      </w:pPr>
    </w:p>
    <w:p w14:paraId="1DF12A85" w14:textId="223388D9" w:rsidR="008377B6" w:rsidRPr="00955BB4" w:rsidRDefault="008377B6" w:rsidP="008377B6">
      <w:pPr>
        <w:rPr>
          <w:b/>
          <w:bCs/>
        </w:rPr>
      </w:pPr>
      <w:r>
        <w:rPr>
          <w:b/>
          <w:bCs/>
        </w:rPr>
        <w:lastRenderedPageBreak/>
        <w:t>Zisky až na prvním místě</w:t>
      </w:r>
    </w:p>
    <w:p w14:paraId="12EC97BF" w14:textId="77777777" w:rsidR="008377B6" w:rsidRPr="00356D8E" w:rsidRDefault="008377B6" w:rsidP="008377B6">
      <w:pPr>
        <w:spacing w:line="360" w:lineRule="auto"/>
      </w:pPr>
      <w:r w:rsidRPr="00356D8E">
        <w:t xml:space="preserve">Nikdo nemůže s jistotou </w:t>
      </w:r>
      <w:r>
        <w:t>předpovědět</w:t>
      </w:r>
      <w:r w:rsidRPr="00356D8E">
        <w:t xml:space="preserve">, jak se budou vyvíjet vztahy mezi USA a Čínou, ani přesně </w:t>
      </w:r>
      <w:r>
        <w:t xml:space="preserve">určit </w:t>
      </w:r>
      <w:r w:rsidRPr="00356D8E">
        <w:t xml:space="preserve">trajektorii </w:t>
      </w:r>
      <w:r>
        <w:t xml:space="preserve">vývoje </w:t>
      </w:r>
      <w:r w:rsidRPr="00356D8E">
        <w:t>komodit v případě další eskalace konflikt</w:t>
      </w:r>
      <w:r>
        <w:t>u</w:t>
      </w:r>
      <w:r w:rsidRPr="00356D8E">
        <w:t xml:space="preserve"> na Blízkém východě. S volatilitou však přichází riziko i </w:t>
      </w:r>
      <w:r>
        <w:t xml:space="preserve">potenciální </w:t>
      </w:r>
      <w:r w:rsidRPr="00356D8E">
        <w:t>výnos.</w:t>
      </w:r>
    </w:p>
    <w:p w14:paraId="6221F98A" w14:textId="77777777" w:rsidR="008377B6" w:rsidRPr="006846CC" w:rsidRDefault="008377B6" w:rsidP="008377B6">
      <w:pPr>
        <w:spacing w:line="360" w:lineRule="auto"/>
      </w:pPr>
      <w:r w:rsidRPr="00356D8E">
        <w:t xml:space="preserve">Výhled </w:t>
      </w:r>
      <w:r>
        <w:t xml:space="preserve">pro globální </w:t>
      </w:r>
      <w:r w:rsidRPr="00356D8E">
        <w:t xml:space="preserve">růst zisků zůstává silný a náš pohled na akcie je </w:t>
      </w:r>
      <w:r>
        <w:t>na prahu</w:t>
      </w:r>
      <w:r w:rsidRPr="00356D8E">
        <w:t xml:space="preserve"> roku 2025 obecně pozitivní. Vzhledem k vysokému ocenění však budou chytré peníze hledat </w:t>
      </w:r>
      <w:r>
        <w:t>nové cesty</w:t>
      </w:r>
      <w:r w:rsidRPr="00356D8E">
        <w:t xml:space="preserve">, jakmile se hospodářský cyklus otočí. Náš přístup </w:t>
      </w:r>
      <w:r>
        <w:t>bude</w:t>
      </w:r>
      <w:r w:rsidRPr="00356D8E">
        <w:t xml:space="preserve"> držet</w:t>
      </w:r>
      <w:r>
        <w:t xml:space="preserve"> se</w:t>
      </w:r>
      <w:r w:rsidRPr="00356D8E">
        <w:t xml:space="preserve"> fundamentů a zároveň zůst</w:t>
      </w:r>
      <w:r>
        <w:t>at</w:t>
      </w:r>
      <w:r w:rsidRPr="00356D8E">
        <w:t xml:space="preserve"> ostražití a disciplinovaní, pokud jde o </w:t>
      </w:r>
      <w:r>
        <w:t>valuace</w:t>
      </w:r>
      <w:r w:rsidRPr="00356D8E">
        <w:t xml:space="preserve">. Tím se bude řídit naše uvažování do roku 2025 </w:t>
      </w:r>
      <w:r>
        <w:t>i</w:t>
      </w:r>
      <w:r w:rsidRPr="00356D8E">
        <w:t xml:space="preserve"> dále.</w:t>
      </w:r>
    </w:p>
    <w:p w14:paraId="320D6AB6" w14:textId="762C97E8" w:rsidR="00B64E8C" w:rsidRDefault="00955BB4" w:rsidP="008377B6">
      <w:pPr>
        <w:pStyle w:val="FIL3Body"/>
        <w:spacing w:before="160" w:after="160" w:line="360" w:lineRule="auto"/>
        <w:jc w:val="both"/>
      </w:pPr>
      <w:r>
        <w:rPr>
          <w:rFonts w:cs="Arial"/>
          <w:color w:val="auto"/>
          <w:sz w:val="20"/>
          <w:szCs w:val="20"/>
          <w:lang w:val="cs-CZ" w:eastAsia="cs-CZ"/>
        </w:rPr>
        <w:br/>
      </w:r>
    </w:p>
    <w:p w14:paraId="2B323CC5" w14:textId="77777777" w:rsidR="00B64E8C" w:rsidRPr="00B64E8C" w:rsidRDefault="00B64E8C" w:rsidP="00B64E8C">
      <w:pPr>
        <w:pStyle w:val="F2-zkladn"/>
      </w:pPr>
    </w:p>
    <w:p w14:paraId="1949B84A" w14:textId="55C844F2" w:rsidR="006F508D" w:rsidRDefault="006F508D" w:rsidP="002027ED">
      <w:pPr>
        <w:spacing w:before="0" w:line="240" w:lineRule="atLeast"/>
        <w:rPr>
          <w:b/>
        </w:rPr>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5"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lastRenderedPageBreak/>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lastRenderedPageBreak/>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070BD251" w:rsidR="00D20058" w:rsidRDefault="008377B6" w:rsidP="008377B6">
      <w:pPr>
        <w:pStyle w:val="F2-zkladn"/>
      </w:pPr>
      <w:r w:rsidRPr="008377B6">
        <w:t>MKAT12627</w:t>
      </w:r>
    </w:p>
    <w:sectPr w:rsidR="00D20058" w:rsidSect="00F50497">
      <w:headerReference w:type="default" r:id="rId16"/>
      <w:footerReference w:type="default" r:id="rId17"/>
      <w:headerReference w:type="first" r:id="rId18"/>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3BE23" w14:textId="77777777" w:rsidR="006E7EFC" w:rsidRDefault="006E7EFC">
      <w:r>
        <w:separator/>
      </w:r>
    </w:p>
  </w:endnote>
  <w:endnote w:type="continuationSeparator" w:id="0">
    <w:p w14:paraId="3FEDF5D5" w14:textId="77777777" w:rsidR="006E7EFC" w:rsidRDefault="006E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84530" w14:textId="77777777" w:rsidR="006E7EFC" w:rsidRDefault="006E7EFC">
      <w:r>
        <w:separator/>
      </w:r>
    </w:p>
  </w:footnote>
  <w:footnote w:type="continuationSeparator" w:id="0">
    <w:p w14:paraId="3117A06E" w14:textId="77777777" w:rsidR="006E7EFC" w:rsidRDefault="006E7EFC">
      <w:r>
        <w:continuationSeparator/>
      </w:r>
    </w:p>
  </w:footnote>
  <w:footnote w:type="continuationNotice" w:id="1">
    <w:p w14:paraId="2CE1825A" w14:textId="77777777" w:rsidR="006E7EFC" w:rsidRDefault="006E7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12C0A42"/>
    <w:multiLevelType w:val="hybridMultilevel"/>
    <w:tmpl w:val="6D221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7"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9"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3"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5"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033605">
    <w:abstractNumId w:val="18"/>
  </w:num>
  <w:num w:numId="2" w16cid:durableId="146671352">
    <w:abstractNumId w:val="34"/>
  </w:num>
  <w:num w:numId="3" w16cid:durableId="1266381172">
    <w:abstractNumId w:val="41"/>
  </w:num>
  <w:num w:numId="4" w16cid:durableId="1719279861">
    <w:abstractNumId w:val="24"/>
  </w:num>
  <w:num w:numId="5" w16cid:durableId="118620334">
    <w:abstractNumId w:val="26"/>
  </w:num>
  <w:num w:numId="6" w16cid:durableId="1824814676">
    <w:abstractNumId w:val="22"/>
  </w:num>
  <w:num w:numId="7" w16cid:durableId="1926299718">
    <w:abstractNumId w:val="39"/>
  </w:num>
  <w:num w:numId="8" w16cid:durableId="1498184102">
    <w:abstractNumId w:val="28"/>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6"/>
  </w:num>
  <w:num w:numId="21" w16cid:durableId="1100370002">
    <w:abstractNumId w:val="32"/>
  </w:num>
  <w:num w:numId="22" w16cid:durableId="2069836537">
    <w:abstractNumId w:val="12"/>
  </w:num>
  <w:num w:numId="23" w16cid:durableId="1663701074">
    <w:abstractNumId w:val="10"/>
  </w:num>
  <w:num w:numId="24" w16cid:durableId="661811107">
    <w:abstractNumId w:val="13"/>
  </w:num>
  <w:num w:numId="25" w16cid:durableId="367528897">
    <w:abstractNumId w:val="20"/>
  </w:num>
  <w:num w:numId="26" w16cid:durableId="66655553">
    <w:abstractNumId w:val="38"/>
  </w:num>
  <w:num w:numId="27" w16cid:durableId="1412049229">
    <w:abstractNumId w:val="31"/>
  </w:num>
  <w:num w:numId="28" w16cid:durableId="1854563770">
    <w:abstractNumId w:val="21"/>
  </w:num>
  <w:num w:numId="29" w16cid:durableId="1511022718">
    <w:abstractNumId w:val="23"/>
  </w:num>
  <w:num w:numId="30" w16cid:durableId="189878341">
    <w:abstractNumId w:val="25"/>
  </w:num>
  <w:num w:numId="31" w16cid:durableId="408891146">
    <w:abstractNumId w:val="33"/>
  </w:num>
  <w:num w:numId="32" w16cid:durableId="668292118">
    <w:abstractNumId w:val="42"/>
  </w:num>
  <w:num w:numId="33" w16cid:durableId="1545678938">
    <w:abstractNumId w:val="30"/>
  </w:num>
  <w:num w:numId="34" w16cid:durableId="334190881">
    <w:abstractNumId w:val="40"/>
  </w:num>
  <w:num w:numId="35" w16cid:durableId="867832294">
    <w:abstractNumId w:val="44"/>
  </w:num>
  <w:num w:numId="36" w16cid:durableId="1707019958">
    <w:abstractNumId w:val="14"/>
  </w:num>
  <w:num w:numId="37" w16cid:durableId="1229464119">
    <w:abstractNumId w:val="37"/>
  </w:num>
  <w:num w:numId="38" w16cid:durableId="1404453976">
    <w:abstractNumId w:val="17"/>
  </w:num>
  <w:num w:numId="39" w16cid:durableId="639572714">
    <w:abstractNumId w:val="29"/>
  </w:num>
  <w:num w:numId="40" w16cid:durableId="1181239656">
    <w:abstractNumId w:val="35"/>
  </w:num>
  <w:num w:numId="41" w16cid:durableId="1776094729">
    <w:abstractNumId w:val="43"/>
  </w:num>
  <w:num w:numId="42" w16cid:durableId="58788658">
    <w:abstractNumId w:val="27"/>
  </w:num>
  <w:num w:numId="43" w16cid:durableId="1389382411">
    <w:abstractNumId w:val="36"/>
  </w:num>
  <w:num w:numId="44" w16cid:durableId="608975387">
    <w:abstractNumId w:val="19"/>
  </w:num>
  <w:num w:numId="45" w16cid:durableId="188111331">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6E4"/>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73CB"/>
    <w:rsid w:val="000A755E"/>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13F4"/>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43C4"/>
    <w:rsid w:val="00334497"/>
    <w:rsid w:val="00340CA2"/>
    <w:rsid w:val="00341E98"/>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06D0F"/>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AB2"/>
    <w:rsid w:val="00661FF2"/>
    <w:rsid w:val="00662C87"/>
    <w:rsid w:val="0066345D"/>
    <w:rsid w:val="006652A0"/>
    <w:rsid w:val="00666290"/>
    <w:rsid w:val="00666C23"/>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B47"/>
    <w:rsid w:val="006E78BA"/>
    <w:rsid w:val="006E7DAC"/>
    <w:rsid w:val="006E7EFC"/>
    <w:rsid w:val="006F1295"/>
    <w:rsid w:val="006F15CC"/>
    <w:rsid w:val="006F1CCA"/>
    <w:rsid w:val="006F2C0E"/>
    <w:rsid w:val="006F4F09"/>
    <w:rsid w:val="006F508D"/>
    <w:rsid w:val="006F51CE"/>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694C"/>
    <w:rsid w:val="007F7212"/>
    <w:rsid w:val="007F74CA"/>
    <w:rsid w:val="007F7B5C"/>
    <w:rsid w:val="00800307"/>
    <w:rsid w:val="00800365"/>
    <w:rsid w:val="00800399"/>
    <w:rsid w:val="00800A09"/>
    <w:rsid w:val="008014EC"/>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377B6"/>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683"/>
    <w:rsid w:val="00951993"/>
    <w:rsid w:val="0095216E"/>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654A"/>
    <w:rsid w:val="009677E3"/>
    <w:rsid w:val="00971187"/>
    <w:rsid w:val="00971196"/>
    <w:rsid w:val="009727AA"/>
    <w:rsid w:val="00973755"/>
    <w:rsid w:val="00976040"/>
    <w:rsid w:val="00980736"/>
    <w:rsid w:val="009807A1"/>
    <w:rsid w:val="00981704"/>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87E"/>
    <w:rsid w:val="00A83BED"/>
    <w:rsid w:val="00A8488F"/>
    <w:rsid w:val="00A85DA3"/>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0F80"/>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4B38"/>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22BD"/>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7B70"/>
    <w:rsid w:val="00C70D0F"/>
    <w:rsid w:val="00C7219E"/>
    <w:rsid w:val="00C72DAA"/>
    <w:rsid w:val="00C745D1"/>
    <w:rsid w:val="00C7546F"/>
    <w:rsid w:val="00C7758D"/>
    <w:rsid w:val="00C77777"/>
    <w:rsid w:val="00C80AA0"/>
    <w:rsid w:val="00C82B5D"/>
    <w:rsid w:val="00C8318D"/>
    <w:rsid w:val="00C83387"/>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B15"/>
    <w:rsid w:val="00D20058"/>
    <w:rsid w:val="00D20884"/>
    <w:rsid w:val="00D20D3E"/>
    <w:rsid w:val="00D22687"/>
    <w:rsid w:val="00D24EDB"/>
    <w:rsid w:val="00D251BB"/>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E0A"/>
    <w:rsid w:val="00DB5D01"/>
    <w:rsid w:val="00DB79E4"/>
    <w:rsid w:val="00DC06A4"/>
    <w:rsid w:val="00DC0ACA"/>
    <w:rsid w:val="00DC1684"/>
    <w:rsid w:val="00DC2BF8"/>
    <w:rsid w:val="00DC3459"/>
    <w:rsid w:val="00DC3B22"/>
    <w:rsid w:val="00DC731F"/>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5.png@01DB35E1.7F9AB280"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yperlink" Target="mailto:eliska.krohova@crestcom.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1945</Words>
  <Characters>11478</Characters>
  <Application>Microsoft Office Word</Application>
  <DocSecurity>0</DocSecurity>
  <Lines>95</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13397</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2024-11-27T13:31:00Z</dcterms:created>
  <dcterms:modified xsi:type="dcterms:W3CDTF">2024-11-27T13:31:00Z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